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100"/>
      </w:pPr>
      <w:r>
        <w:rPr>
          <w:b/>
          <w:bCs/>
          <w:color w:val="2D5A3D"/>
          <w:sz w:val="56"/>
          <w:szCs w:val="56"/>
        </w:rPr>
        <w:t xml:space="preserve">🌿 GeoSAC 3</w:t>
      </w:r>
    </w:p>
    <w:p>
      <w:pPr>
        <w:spacing w:after="60"/>
      </w:pPr>
      <w:r>
        <w:rPr>
          <w:color w:val="444444"/>
          <w:sz w:val="32"/>
          <w:szCs w:val="32"/>
        </w:rPr>
        <w:t xml:space="preserve">Manual do Usuário — Guia de Operação</w:t>
      </w:r>
    </w:p>
    <w:p>
      <w:pPr>
        <w:spacing w:after="600"/>
      </w:pPr>
      <w:r>
        <w:rPr>
          <w:i/>
          <w:iCs/>
          <w:color w:val="777777"/>
          <w:sz w:val="22"/>
          <w:szCs w:val="22"/>
        </w:rPr>
        <w:t xml:space="preserve">Mapeamento Automatizado da Exposição Social, Ambiental e Climática de Ativos</w:t>
      </w:r>
    </w:p>
    <w:p>
      <w:pPr>
        <w:pStyle w:val="Heading1"/>
        <w:spacing w:after="200" w:before="400"/>
      </w:pPr>
      <w:r>
        <w:t xml:space="preserve">1. Introdução</w:t>
      </w:r>
    </w:p>
    <w:p>
      <w:pPr>
        <w:spacing w:after="160"/>
      </w:pPr>
      <w:r>
        <w:t xml:space="preserve">O GeoSAC é uma ferramenta de análise de risco socioambiental e climático (RSAC) para ativos geoespaciais — imóveis, propriedades, empreendimentos. Ele cruza a localização de cada ativo com dezenas de bases de dados públicas oficiais (territórios indígenas, unidades de conservação, embargos ambientais, áreas de risco climático, entre outras) e produz um score de risco, um nível (Irrelevante / Baixo / Médio / Alto) e um parecer analítico em linguagem natural.</w:t>
      </w:r>
    </w:p>
    <w:p>
      <w:pPr>
        <w:spacing w:after="160"/>
      </w:pPr>
      <w:r>
        <w:t xml:space="preserve">O sistema é self-service: depois de receber seu usuário e senha, você opera tudo sozinho, sem depender de suporte técnico. O fluxo tem 3 etapas sequenciais, sempre na mesma ordem: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1. Calcular Risco SAC Locacional — determinístico, sem custo de IA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2. Interpretar com IA — gera o parecer analítico em texto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3. Gerar Relatório Word — documento final para download</w:t>
      </w:r>
    </w:p>
    <w:p>
      <w:pPr>
        <w:spacing w:after="160"/>
      </w:pPr>
      <w:r>
        <w:t xml:space="preserve">Este manual mostra o passo a passo completo, com telas reais do sistema.</w:t>
      </w:r>
    </w:p>
    <w:p>
      <w:pPr>
        <w:pStyle w:val="Heading1"/>
        <w:spacing w:after="200" w:before="400"/>
      </w:pPr>
      <w:r>
        <w:t xml:space="preserve">2. Login</w:t>
      </w:r>
    </w:p>
    <w:p>
      <w:pPr>
        <w:spacing w:after="160"/>
      </w:pPr>
      <w:r>
        <w:t xml:space="preserve">Acesse o endereço do GeoSAC e entre com o usuário e senha fornecidos. Se ainda não recebeu suas credenciais, solicite ao administrador do sistema.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F0F0E8"/>
        <w:spacing w:after="200"/>
      </w:pPr>
      <w:r>
        <w:rPr>
          <w:i/>
          <w:iCs/>
          <w:sz w:val="20"/>
          <w:szCs w:val="20"/>
        </w:rPr>
        <w:t xml:space="preserve">Nota: Depois de logado, você pode trocar sua senha a qualquer momento pelo botão "🔑 Senha" no canto superior direito.</w:t>
      </w:r>
    </w:p>
    <w:p>
      <w:pPr>
        <w:pStyle w:val="Heading1"/>
        <w:spacing w:after="200" w:before="400"/>
      </w:pPr>
      <w:r>
        <w:t xml:space="preserve">3. Carregando seus Ativos</w:t>
      </w:r>
    </w:p>
    <w:p>
      <w:pPr>
        <w:spacing w:after="160"/>
      </w:pPr>
      <w:r>
        <w:t xml:space="preserve">Existem duas formas de informar os ativos que você quer analisar — escolha a que fizer sentido para os dados que você tem disponíveis: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Arquivo georreferenciado — um shapefile (.zip), KML ou KMZ, se você já tem os ativos mapeados.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Planilha de endereços — uma planilha Excel (.xlsx) com nome/logradouro/número/CEP/bairro/município/estado, se você só tem os endereços em texto. O sistema converte cada endereço em coordenada automaticamente (geocodificação).</w:t>
      </w:r>
    </w:p>
    <w:p>
      <w:pPr>
        <w:spacing w:after="160"/>
      </w:pPr>
      <w:r>
        <w:t xml:space="preserve">Em ambos os casos, o limite é de 50 ativos por análise.</w:t>
      </w:r>
    </w:p>
    <w:p>
      <w:pPr>
        <w:pStyle w:val="Heading2"/>
        <w:spacing w:after="160" w:before="300"/>
      </w:pPr>
      <w:r>
        <w:t xml:space="preserve">3.1 Planilha de Endereços — passo a passo</w:t>
      </w:r>
    </w:p>
    <w:p>
      <w:pPr>
        <w:spacing w:after="160"/>
      </w:pPr>
      <w:r>
        <w:t xml:space="preserve">Clique em "Planilha de endereços" para trocar o modo de entrada: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</w:pPr>
      <w:r>
        <w:t xml:space="preserve">Use sempre o arquivo modelo oficial (modelo_planilha_geocodificacao.xlsx, fornecido junto com este manual) como ponto de partida — ele já tem as colunas certas e uma aba explicando em detalhe os motivos de rejeição e como aumentar a confiança da geocodificação. Preencha uma linha por ativo e apague as linhas de exemplo antes de subir.</w:t>
      </w:r>
    </w:p>
    <w:p>
      <w:pPr>
        <w:spacing w:after="160"/>
      </w:pPr>
      <w:r>
        <w:t xml:space="preserve">Depois de selecionar o arquivo, o processamento começa automaticamente. Isso pode levar de alguns segundos a poucos minutos, dependendo da quantidade de endereços — não recarregue a página nesse meio-tempo: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</w:pPr>
      <w:r>
        <w:t xml:space="preserve">Ao final, os ativos aceitos aparecem no mapa e na lista. Se algum endereço não pôde ser localizado com segurança, um aviso aparece explicando o motivo — esse ativo específico não entra na análise, mas os demais continuam normalmente: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F0F0E8"/>
        <w:spacing w:after="200"/>
      </w:pPr>
      <w:r>
        <w:rPr>
          <w:i/>
          <w:iCs/>
          <w:sz w:val="20"/>
          <w:szCs w:val="20"/>
        </w:rPr>
        <w:t xml:space="preserve">Nota: Os motivos de rejeição mais comuns são: endereço encontrado só até o nível do município (sem identificar a rua), nome de rua não reconhecido, ou duas ruas igualmente prováveis sem informação suficiente para desempatar. A aba "Casos de Rejeição e Confiança" da planilha-modelo traz exemplos detalhados de cada caso e dicas para reduzir rejeições (principalmente preencher número e CEP).</w:t>
      </w:r>
    </w:p>
    <w:p>
      <w:pPr>
        <w:pStyle w:val="Heading1"/>
        <w:spacing w:after="200" w:before="400"/>
      </w:pPr>
      <w:r>
        <w:t xml:space="preserve">4. Executando a Análise</w:t>
      </w:r>
    </w:p>
    <w:p>
      <w:pPr>
        <w:spacing w:after="160"/>
      </w:pPr>
      <w:r>
        <w:t xml:space="preserve">Com os ativos carregados (por qualquer um dos dois modos), clique em "Executar Análise". O sistema cruza a localização de cada ativo com todas as bases de dados cadastradas: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</w:pPr>
      <w:r>
        <w:t xml:space="preserve">Ao final, um banner indica o resultado: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Verde — todos os ativos processados com sucesso.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Amarelo — alguns ativos ou fontes de dados tiveram falha de comunicação; recomenda-se repetir a análise em alguns minutos.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Azul — a análise foi interrompida manualmente (botão "Interromper").</w:t>
      </w:r>
    </w:p>
    <w:p>
      <w:pPr>
        <w:pStyle w:val="Heading1"/>
        <w:spacing w:after="200" w:before="400"/>
      </w:pPr>
      <w:r>
        <w:t xml:space="preserve">5. Visualizando no Mapa</w:t>
      </w:r>
    </w:p>
    <w:p>
      <w:pPr>
        <w:spacing w:after="160"/>
      </w:pPr>
      <w:r>
        <w:t xml:space="preserve">O painel "Camadas no Mapa" permite ligar/desligar a exibição de cada base de dados (organizadas por eixo: Social, Ambiental, Climática), além dos buffers de 1 km e 10 km ao redor dos ativos: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spacing w:after="200" w:before="400"/>
      </w:pPr>
      <w:r>
        <w:t xml:space="preserve">6. Calculando o Risco SAC</w:t>
      </w:r>
    </w:p>
    <w:p>
      <w:pPr>
        <w:spacing w:after="160"/>
      </w:pPr>
      <w:r>
        <w:t xml:space="preserve">Clique em "Calcular Risco SAC Locacional". Escolha entre analisar o portfólio completo de uma vez ou um ativo individual: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</w:pPr>
      <w:r>
        <w:t xml:space="preserve">O resultado traz o score (escala 1 a 4) e o nível de risco de cada ativo: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</w:tblGrid>
      <w:tr>
        <w:trPr>
          <w:tblHeader/>
        </w:trPr>
        <w:tc>
          <w:tcPr>
            <w:tcW w:type="pct" w:w="33%"/>
            <w:shd w:fill="2D5A3D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Nível</w:t>
            </w:r>
          </w:p>
        </w:tc>
        <w:tc>
          <w:tcPr>
            <w:tcW w:type="pct" w:w="33%"/>
            <w:shd w:fill="2D5A3D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Faixa de score</w:t>
            </w:r>
          </w:p>
        </w:tc>
        <w:tc>
          <w:tcPr>
            <w:tcW w:type="pct" w:w="33%"/>
            <w:shd w:fill="2D5A3D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Interpretação</w:t>
            </w:r>
          </w:p>
        </w:tc>
      </w:tr>
      <w:tr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Irrelevante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&lt; 1,5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Nenhuma exposição relevante identificada</w:t>
            </w:r>
          </w:p>
        </w:tc>
      </w:tr>
      <w:tr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Baixo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1,5 a 2,49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Exposição pontual, sem necessidade de ação imediata</w:t>
            </w:r>
          </w:p>
        </w:tc>
      </w:tr>
      <w:tr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Médio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2,5 a 3,49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Exposição relevante, recomenda-se atenção</w:t>
            </w:r>
          </w:p>
        </w:tc>
      </w:tr>
      <w:tr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Alto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≥ 3,5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Exposição crítica — inclui casos de veto automático</w:t>
            </w:r>
          </w:p>
        </w:tc>
      </w:tr>
    </w:tbl>
    <w:p>
      <w:pPr>
        <w:spacing w:after="160"/>
      </w:pPr>
      <w:r>
        <w:t xml:space="preserve"/>
      </w:r>
    </w:p>
    <w:p>
      <w:pPr>
        <w:spacing w:after="160"/>
      </w:pPr>
      <w:r>
        <w:t xml:space="preserve">O score é a média de 3 eixos (Social, Ambiental, Climático), cada um calculado a partir de várias variáveis específicas (ex.: proximidade de terras indígenas, unidades de conservação, embargos ambientais, risco de incêndio, entre outras). Algumas variáveis têm mecanismo de veto: se o ativo estiver em situação crítica nelas (ex.: sobreposição com Unidade de Conservação de Proteção Integral), o eixo inteiro — e o score final — é automaticamente elevado a Alto, independentemente da média das demais variáveis.</w:t>
      </w:r>
    </w:p>
    <w:p>
      <w:pPr>
        <w:spacing w:after="160"/>
      </w:pPr>
      <w:r>
        <w:t xml:space="preserve">Depois de calculado, a tabela principal passa a mostrar o score e o nível de cada ativo: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spacing w:after="200" w:before="400"/>
      </w:pPr>
      <w:r>
        <w:t xml:space="preserve">7. Parecer da IA</w:t>
      </w:r>
    </w:p>
    <w:p>
      <w:pPr>
        <w:spacing w:after="160"/>
      </w:pPr>
      <w:r>
        <w:t xml:space="preserve">Com o risco já calculado, o botão "Interpretar com IA" fica disponível. Ele gera um parecer analítico em texto corrido, explicando o resultado e o contexto de cada variável crítica identificada:</w:t>
      </w:r>
    </w:p>
    <w:p>
      <w:pPr>
        <w:spacing w:after="240" w:before="120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F0F0E8"/>
        <w:spacing w:after="200"/>
      </w:pPr>
      <w:r>
        <w:rPr>
          <w:i/>
          <w:iCs/>
          <w:sz w:val="20"/>
          <w:szCs w:val="20"/>
        </w:rPr>
        <w:t xml:space="preserve">Nota: Esta etapa tem um limite de 10 consultas por hora por usuário. Se o limite for atingido, aguarde antes de tentar novamente.</w:t>
      </w:r>
    </w:p>
    <w:p>
      <w:pPr>
        <w:pStyle w:val="Heading1"/>
        <w:spacing w:after="200" w:before="400"/>
      </w:pPr>
      <w:r>
        <w:t xml:space="preserve">8. Gerando o Relatório Word</w:t>
      </w:r>
    </w:p>
    <w:p>
      <w:pPr>
        <w:spacing w:after="160"/>
      </w:pPr>
      <w:r>
        <w:t xml:space="preserve">O botão "Gerar Relatório Word" fica disponível assim que o risco é calculado — funciona com ou sem o parecer da IA (se você pular a etapa 7, o relatório sai sem a seção de parecer analítico). O documento gerado inclui: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Cabeçalho com data e modo de análise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Localização (município, estado, bioma) e avaliação de risco por eixo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Mapas do portfólio e de cada ativo individual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Variáveis críticas identificadas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Parecer analítico da IA (se gerado)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Gráfico de perfil de risco por eixo e, no modo portfólio, comparativo entre ativos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Tabela completa de dados por variável</w:t>
      </w:r>
    </w:p>
    <w:p>
      <w:pPr>
        <w:pStyle w:val="ListParagraph"/>
        <w:numPr>
          <w:ilvl w:val="0"/>
          <w:numId w:val="1"/>
        </w:numPr>
        <w:spacing w:after="80"/>
      </w:pPr>
      <w:r>
        <w:t xml:space="preserve">Metodologia, fontes de dados e observações</w:t>
      </w:r>
    </w:p>
    <w:p>
      <w:pPr>
        <w:spacing w:after="160"/>
      </w:pPr>
      <w:r>
        <w:t xml:space="preserve">O arquivo é baixado automaticamente com data e hora no nome (ex.: geosac_laudo_ia_2026-07-21_15h30min.docx).</w:t>
      </w:r>
    </w:p>
    <w:p>
      <w:pPr>
        <w:pStyle w:val="Heading1"/>
        <w:spacing w:after="200" w:before="400"/>
      </w:pPr>
      <w:r>
        <w:t xml:space="preserve">9. Solução de Problemas Comuns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</w:tblGrid>
      <w:tr>
        <w:trPr>
          <w:tblHeader/>
        </w:trPr>
        <w:tc>
          <w:tcPr>
            <w:tcW w:type="pct" w:w="50%"/>
            <w:shd w:fill="2D5A3D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Situação</w:t>
            </w:r>
          </w:p>
        </w:tc>
        <w:tc>
          <w:tcPr>
            <w:tcW w:type="pct" w:w="50%"/>
            <w:shd w:fill="2D5A3D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O que fazer</w:t>
            </w:r>
          </w:p>
        </w:tc>
      </w:tr>
      <w:tr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"O limite máximo é 50 ativos por análise"</w:t>
            </w:r>
          </w:p>
        </w:tc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Divida sua planilha/arquivo em lotes de até 50 ativos e analise separadamente.</w:t>
            </w:r>
          </w:p>
        </w:tc>
      </w:tr>
      <w:tr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Endereço rejeitado na geocodificação</w:t>
            </w:r>
          </w:p>
        </w:tc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Confira a aba "Casos de Rejeição e Confiança" da planilha-modelo. Geralmente falta número, CEP ou o nome da rua está com erro de digitação.</w:t>
            </w:r>
          </w:p>
        </w:tc>
      </w:tr>
      <w:tr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Banner amarelo após a análise</w:t>
            </w:r>
          </w:p>
        </w:tc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Uma ou mais fontes de dados tiveram falha temporária de comunicação. Aguarde alguns minutos e repita a análise.</w:t>
            </w:r>
          </w:p>
        </w:tc>
      </w:tr>
      <w:tr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Botão "Interpretar com IA" bloqueado por limite</w:t>
            </w:r>
          </w:p>
        </w:tc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Limite de 10 consultas por hora atingido. Aguarde antes de tentar de novo.</w:t>
            </w:r>
          </w:p>
        </w:tc>
      </w:tr>
      <w:tr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"Interpretar com IA"/"Gerar Relatório" desabilitados</w:t>
            </w:r>
          </w:p>
        </w:tc>
        <w:tc>
          <w:tcPr>
            <w:tcW w:type="pct" w:w="50%"/>
          </w:tcPr>
          <w:p>
            <w:r>
              <w:rPr>
                <w:sz w:val="20"/>
                <w:szCs w:val="20"/>
              </w:rPr>
              <w:t xml:space="preserve">É preciso calcular o risco primeiro (etapa 6) — essas duas etapas dependem do score já calculado.</w:t>
            </w:r>
          </w:p>
        </w:tc>
      </w:tr>
    </w:tbl>
    <w:p>
      <w:pPr>
        <w:pStyle w:val="Heading1"/>
        <w:spacing w:after="200" w:before="400"/>
      </w:pPr>
      <w:r>
        <w:t xml:space="preserve">10. Referência Rápida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</w:tblGrid>
      <w:tr>
        <w:trPr>
          <w:tblHeader/>
        </w:trPr>
        <w:tc>
          <w:tcPr>
            <w:tcW w:type="pct" w:w="33%"/>
            <w:shd w:fill="2D5A3D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Botão</w:t>
            </w:r>
          </w:p>
        </w:tc>
        <w:tc>
          <w:tcPr>
            <w:tcW w:type="pct" w:w="33%"/>
            <w:shd w:fill="2D5A3D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O que faz</w:t>
            </w:r>
          </w:p>
        </w:tc>
        <w:tc>
          <w:tcPr>
            <w:tcW w:type="pct" w:w="33%"/>
            <w:shd w:fill="2D5A3D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Depende de</w:t>
            </w:r>
          </w:p>
        </w:tc>
      </w:tr>
      <w:tr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Executar Análise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Cruza os ativos com as bases de dados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Ativos carregados</w:t>
            </w:r>
          </w:p>
        </w:tc>
      </w:tr>
      <w:tr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Calcular Risco SAC Locacional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Calcula score e nível de risco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Análise executada</w:t>
            </w:r>
          </w:p>
        </w:tc>
      </w:tr>
      <w:tr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Interpretar com IA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Gera parecer analítico em texto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Risco calculado</w:t>
            </w:r>
          </w:p>
        </w:tc>
      </w:tr>
      <w:tr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Gerar Relatório Word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Baixa o documento final</w:t>
            </w:r>
          </w:p>
        </w:tc>
        <w:tc>
          <w:tcPr>
            <w:tcW w:type="pct" w:w="33%"/>
          </w:tcPr>
          <w:p>
            <w:r>
              <w:rPr>
                <w:sz w:val="20"/>
                <w:szCs w:val="20"/>
              </w:rPr>
              <w:t xml:space="preserve">Risco calculado (parecer opcional)</w:t>
            </w:r>
          </w:p>
        </w:tc>
      </w:tr>
    </w:tbl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a09a18fd026cdbe9b12dcb7810c71a7850c6a3ec.png"/><Relationship Id="rId8" Type="http://schemas.openxmlformats.org/officeDocument/2006/relationships/image" Target="media/f2675666ad0cd60167d8e48f1c14d4e29ce30f38.png"/><Relationship Id="rId9" Type="http://schemas.openxmlformats.org/officeDocument/2006/relationships/image" Target="media/3ca2772a6bb8eee8325f6dd99fe313d289b5c990.png"/><Relationship Id="rId10" Type="http://schemas.openxmlformats.org/officeDocument/2006/relationships/image" Target="media/7d0dd487946b069d31455f2c8000cecc86d7876c.png"/><Relationship Id="rId11" Type="http://schemas.openxmlformats.org/officeDocument/2006/relationships/image" Target="media/9ba02230838e175f1bf0a725bead0d1574e31412.png"/><Relationship Id="rId12" Type="http://schemas.openxmlformats.org/officeDocument/2006/relationships/image" Target="media/ca2077d8788d9ab839cdce53ed0b2d5a5455d242.png"/><Relationship Id="rId13" Type="http://schemas.openxmlformats.org/officeDocument/2006/relationships/image" Target="media/d2553afe23cce409fe58707ec432f4e20e9c1e6f.png"/><Relationship Id="rId14" Type="http://schemas.openxmlformats.org/officeDocument/2006/relationships/image" Target="media/46db34a7ebe1f3081da6e23cfc39be54b3233890.png"/><Relationship Id="rId15" Type="http://schemas.openxmlformats.org/officeDocument/2006/relationships/image" Target="media/ac23484268f46950a2c4ae2ebbf73f0d97fb8d42.png"/><Relationship Id="rId16" Type="http://schemas.openxmlformats.org/officeDocument/2006/relationships/image" Target="media/92478588ae87d0a4cf002c3ece656817bea18995.png"/><Relationship Id="rId17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2026-07-21T19:26:38.437Z</dcterms:created>
  <dcterms:modified xsi:type="dcterms:W3CDTF">2026-07-21T19:26:38.446Z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